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r>
        <w:rPr>
          <w:rFonts w:hint="eastAsia" w:ascii="宋体" w:hAnsi="宋体"/>
          <w:b/>
          <w:sz w:val="44"/>
          <w:szCs w:val="44"/>
        </w:rPr>
        <w:t>章贡区</w:t>
      </w:r>
      <w:r>
        <w:rPr>
          <w:rFonts w:hint="eastAsia" w:ascii="宋体" w:hAnsi="宋体"/>
          <w:b/>
          <w:sz w:val="44"/>
          <w:szCs w:val="44"/>
          <w:lang w:eastAsia="zh-CN"/>
        </w:rPr>
        <w:t>纪委</w:t>
      </w:r>
      <w:r>
        <w:rPr>
          <w:rFonts w:hint="eastAsia" w:ascii="宋体" w:hAnsi="宋体"/>
          <w:b/>
          <w:sz w:val="44"/>
          <w:szCs w:val="44"/>
        </w:rPr>
        <w:t>20</w:t>
      </w:r>
      <w:r>
        <w:rPr>
          <w:rFonts w:hint="eastAsia" w:ascii="宋体" w:hAnsi="宋体"/>
          <w:b/>
          <w:sz w:val="44"/>
          <w:szCs w:val="44"/>
          <w:lang w:val="en-US" w:eastAsia="zh-CN"/>
        </w:rPr>
        <w:t>20</w:t>
      </w:r>
      <w:r>
        <w:rPr>
          <w:rFonts w:hint="eastAsia" w:ascii="宋体" w:hAnsi="宋体"/>
          <w:b/>
          <w:sz w:val="44"/>
          <w:szCs w:val="44"/>
        </w:rPr>
        <w:t>年部门预算</w:t>
      </w:r>
    </w:p>
    <w:p/>
    <w:p/>
    <w:p>
      <w:pPr>
        <w:spacing w:line="600" w:lineRule="exact"/>
        <w:jc w:val="center"/>
        <w:rPr>
          <w:rFonts w:ascii="黑体" w:eastAsia="黑体"/>
          <w:sz w:val="32"/>
          <w:szCs w:val="32"/>
        </w:rPr>
      </w:pPr>
      <w:r>
        <w:rPr>
          <w:rFonts w:hint="eastAsia" w:ascii="黑体" w:eastAsia="黑体"/>
          <w:sz w:val="32"/>
          <w:szCs w:val="32"/>
        </w:rPr>
        <w:t>目    录</w:t>
      </w:r>
    </w:p>
    <w:p/>
    <w:p>
      <w:pPr>
        <w:widowControl/>
        <w:spacing w:line="600" w:lineRule="exact"/>
        <w:ind w:firstLine="640"/>
        <w:jc w:val="left"/>
        <w:rPr>
          <w:rFonts w:ascii="黑体" w:hAnsi="黑体" w:eastAsia="黑体"/>
          <w:sz w:val="32"/>
          <w:szCs w:val="30"/>
        </w:rPr>
      </w:pPr>
      <w:r>
        <w:rPr>
          <w:rFonts w:hint="eastAsia" w:ascii="黑体" w:hAnsi="黑体" w:eastAsia="黑体"/>
          <w:sz w:val="32"/>
          <w:szCs w:val="30"/>
        </w:rPr>
        <w:t>第一部分  章贡区</w:t>
      </w:r>
      <w:r>
        <w:rPr>
          <w:rFonts w:hint="eastAsia" w:ascii="黑体" w:hAnsi="黑体" w:eastAsia="黑体"/>
          <w:sz w:val="32"/>
          <w:szCs w:val="30"/>
          <w:lang w:eastAsia="zh-CN"/>
        </w:rPr>
        <w:t>纪委</w:t>
      </w:r>
      <w:r>
        <w:rPr>
          <w:rFonts w:hint="eastAsia" w:ascii="黑体" w:hAnsi="黑体" w:eastAsia="黑体"/>
          <w:sz w:val="32"/>
          <w:szCs w:val="30"/>
        </w:rPr>
        <w:t>概况</w:t>
      </w:r>
    </w:p>
    <w:p>
      <w:pPr>
        <w:widowControl/>
        <w:spacing w:line="600" w:lineRule="exact"/>
        <w:ind w:firstLine="640"/>
        <w:jc w:val="left"/>
        <w:rPr>
          <w:rFonts w:ascii="楷体" w:hAnsi="楷体" w:eastAsia="楷体"/>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 w:hAnsi="楷体" w:eastAsia="楷体"/>
          <w:sz w:val="32"/>
          <w:szCs w:val="30"/>
        </w:rPr>
        <w:t xml:space="preserve"> 一、部门主要职责</w:t>
      </w:r>
    </w:p>
    <w:p>
      <w:pPr>
        <w:widowControl/>
        <w:spacing w:line="600" w:lineRule="exact"/>
        <w:ind w:firstLine="640"/>
        <w:jc w:val="left"/>
        <w:rPr>
          <w:rFonts w:ascii="楷体" w:hAnsi="楷体" w:eastAsia="楷体" w:cs="宋体"/>
          <w:kern w:val="0"/>
          <w:sz w:val="32"/>
          <w:szCs w:val="32"/>
        </w:rPr>
      </w:pPr>
      <w:r>
        <w:rPr>
          <w:rFonts w:hint="eastAsia" w:ascii="楷体" w:hAnsi="楷体" w:eastAsia="楷体" w:cs="宋体"/>
          <w:kern w:val="0"/>
          <w:sz w:val="32"/>
          <w:szCs w:val="32"/>
        </w:rPr>
        <w:t xml:space="preserve">    二、部门基本情况</w:t>
      </w:r>
    </w:p>
    <w:p>
      <w:pPr>
        <w:widowControl/>
        <w:spacing w:line="600" w:lineRule="exact"/>
        <w:ind w:firstLine="640"/>
        <w:jc w:val="left"/>
        <w:rPr>
          <w:rFonts w:ascii="黑体" w:hAnsi="黑体" w:eastAsia="黑体"/>
          <w:sz w:val="32"/>
          <w:szCs w:val="30"/>
        </w:rPr>
      </w:pPr>
      <w:r>
        <w:rPr>
          <w:rFonts w:hint="eastAsia" w:ascii="黑体" w:hAnsi="黑体" w:eastAsia="黑体"/>
          <w:sz w:val="32"/>
          <w:szCs w:val="30"/>
        </w:rPr>
        <w:t>第二部分  章贡区</w:t>
      </w:r>
      <w:r>
        <w:rPr>
          <w:rFonts w:hint="eastAsia" w:ascii="黑体" w:hAnsi="黑体" w:eastAsia="黑体"/>
          <w:sz w:val="32"/>
          <w:szCs w:val="30"/>
          <w:lang w:eastAsia="zh-CN"/>
        </w:rPr>
        <w:t>纪委</w:t>
      </w:r>
      <w:r>
        <w:rPr>
          <w:rFonts w:hint="eastAsia" w:ascii="黑体" w:hAnsi="黑体" w:eastAsia="黑体"/>
          <w:sz w:val="32"/>
          <w:szCs w:val="30"/>
        </w:rPr>
        <w:t>20</w:t>
      </w:r>
      <w:r>
        <w:rPr>
          <w:rFonts w:hint="eastAsia" w:ascii="黑体" w:hAnsi="黑体" w:eastAsia="黑体"/>
          <w:sz w:val="32"/>
          <w:szCs w:val="30"/>
          <w:lang w:val="en-US" w:eastAsia="zh-CN"/>
        </w:rPr>
        <w:t>20</w:t>
      </w:r>
      <w:r>
        <w:rPr>
          <w:rFonts w:hint="eastAsia" w:ascii="黑体" w:hAnsi="黑体" w:eastAsia="黑体"/>
          <w:sz w:val="32"/>
          <w:szCs w:val="30"/>
        </w:rPr>
        <w:t>年部门预算情况说明</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一、20</w:t>
      </w:r>
      <w:r>
        <w:rPr>
          <w:rFonts w:hint="eastAsia" w:ascii="楷体" w:hAnsi="楷体" w:eastAsia="楷体"/>
          <w:sz w:val="32"/>
          <w:szCs w:val="30"/>
          <w:lang w:val="en-US" w:eastAsia="zh-CN"/>
        </w:rPr>
        <w:t>20</w:t>
      </w:r>
      <w:r>
        <w:rPr>
          <w:rFonts w:hint="eastAsia" w:ascii="楷体" w:hAnsi="楷体" w:eastAsia="楷体"/>
          <w:sz w:val="32"/>
          <w:szCs w:val="30"/>
        </w:rPr>
        <w:t>年部门预算收支情况说明</w:t>
      </w:r>
    </w:p>
    <w:p>
      <w:pPr>
        <w:widowControl/>
        <w:spacing w:line="600" w:lineRule="exact"/>
        <w:ind w:firstLine="640"/>
        <w:jc w:val="left"/>
        <w:rPr>
          <w:rFonts w:ascii="楷体" w:hAnsi="楷体" w:eastAsia="楷体"/>
          <w:sz w:val="32"/>
          <w:szCs w:val="30"/>
        </w:rPr>
      </w:pPr>
      <w:r>
        <w:rPr>
          <w:rFonts w:hint="eastAsia" w:ascii="楷体" w:hAnsi="楷体" w:eastAsia="楷体" w:cs="宋体"/>
          <w:kern w:val="0"/>
          <w:sz w:val="32"/>
          <w:szCs w:val="32"/>
        </w:rPr>
        <w:t xml:space="preserve">    二、</w:t>
      </w:r>
      <w:r>
        <w:rPr>
          <w:rFonts w:hint="eastAsia" w:ascii="楷体" w:hAnsi="楷体" w:eastAsia="楷体"/>
          <w:sz w:val="32"/>
          <w:szCs w:val="30"/>
        </w:rPr>
        <w:t>20</w:t>
      </w:r>
      <w:r>
        <w:rPr>
          <w:rFonts w:hint="eastAsia" w:ascii="楷体" w:hAnsi="楷体" w:eastAsia="楷体"/>
          <w:sz w:val="32"/>
          <w:szCs w:val="30"/>
          <w:lang w:val="en-US" w:eastAsia="zh-CN"/>
        </w:rPr>
        <w:t>20</w:t>
      </w:r>
      <w:r>
        <w:rPr>
          <w:rFonts w:hint="eastAsia" w:ascii="楷体" w:hAnsi="楷体" w:eastAsia="楷体"/>
          <w:sz w:val="32"/>
          <w:szCs w:val="30"/>
        </w:rPr>
        <w:t>年“三公”经费预算情况说明</w:t>
      </w:r>
    </w:p>
    <w:p>
      <w:pPr>
        <w:widowControl/>
        <w:spacing w:line="600" w:lineRule="exact"/>
        <w:ind w:firstLine="640"/>
        <w:jc w:val="left"/>
        <w:rPr>
          <w:rFonts w:ascii="黑体" w:hAnsi="黑体" w:eastAsia="黑体"/>
          <w:sz w:val="32"/>
          <w:szCs w:val="30"/>
        </w:rPr>
      </w:pPr>
      <w:r>
        <w:rPr>
          <w:rFonts w:hint="eastAsia" w:ascii="黑体" w:hAnsi="黑体" w:eastAsia="黑体"/>
          <w:sz w:val="32"/>
          <w:szCs w:val="30"/>
        </w:rPr>
        <w:t>第三部分  章贡区</w:t>
      </w:r>
      <w:r>
        <w:rPr>
          <w:rFonts w:hint="eastAsia" w:ascii="黑体" w:hAnsi="黑体" w:eastAsia="黑体"/>
          <w:sz w:val="32"/>
          <w:szCs w:val="30"/>
          <w:lang w:eastAsia="zh-CN"/>
        </w:rPr>
        <w:t>纪委</w:t>
      </w:r>
      <w:r>
        <w:rPr>
          <w:rFonts w:hint="eastAsia" w:ascii="黑体" w:hAnsi="黑体" w:eastAsia="黑体"/>
          <w:sz w:val="32"/>
          <w:szCs w:val="30"/>
        </w:rPr>
        <w:t>20</w:t>
      </w:r>
      <w:r>
        <w:rPr>
          <w:rFonts w:hint="eastAsia" w:ascii="黑体" w:hAnsi="黑体" w:eastAsia="黑体"/>
          <w:sz w:val="32"/>
          <w:szCs w:val="30"/>
          <w:lang w:val="en-US" w:eastAsia="zh-CN"/>
        </w:rPr>
        <w:t>20</w:t>
      </w:r>
      <w:r>
        <w:rPr>
          <w:rFonts w:hint="eastAsia" w:ascii="黑体" w:hAnsi="黑体" w:eastAsia="黑体"/>
          <w:sz w:val="32"/>
          <w:szCs w:val="30"/>
        </w:rPr>
        <w:t>年部门预算表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一、《收支预算总表》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二、《部门收入总表》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三、《部门支出总表》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四、《财政拨款收支总表》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五、《一般公共预算支出表》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六、《一般公共预算基本支出表》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七、《一般公共预算“三公”经费支出表》</w:t>
      </w:r>
    </w:p>
    <w:p>
      <w:pPr>
        <w:widowControl/>
        <w:spacing w:line="600" w:lineRule="exact"/>
        <w:ind w:firstLine="1280" w:firstLineChars="400"/>
        <w:jc w:val="left"/>
        <w:rPr>
          <w:rFonts w:ascii="楷体" w:hAnsi="楷体" w:eastAsia="楷体"/>
          <w:sz w:val="32"/>
          <w:szCs w:val="30"/>
        </w:rPr>
      </w:pPr>
      <w:r>
        <w:rPr>
          <w:rFonts w:hint="eastAsia" w:ascii="楷体" w:hAnsi="楷体" w:eastAsia="楷体"/>
          <w:sz w:val="32"/>
          <w:szCs w:val="30"/>
        </w:rPr>
        <w:t>八、《政府性基金预算支出表》</w:t>
      </w:r>
    </w:p>
    <w:p>
      <w:pPr>
        <w:widowControl/>
        <w:spacing w:line="600" w:lineRule="exact"/>
        <w:ind w:firstLine="640"/>
        <w:jc w:val="left"/>
        <w:rPr>
          <w:rFonts w:ascii="黑体" w:hAnsi="黑体" w:eastAsia="黑体"/>
          <w:sz w:val="32"/>
          <w:szCs w:val="30"/>
        </w:rPr>
      </w:pPr>
      <w:r>
        <w:rPr>
          <w:rFonts w:hint="eastAsia" w:ascii="黑体" w:hAnsi="黑体" w:eastAsia="黑体"/>
          <w:sz w:val="32"/>
          <w:szCs w:val="30"/>
        </w:rPr>
        <w:t>第四部分  名词解释</w:t>
      </w:r>
    </w:p>
    <w:p>
      <w:pPr>
        <w:widowControl/>
        <w:spacing w:line="600" w:lineRule="exact"/>
        <w:ind w:firstLine="640"/>
        <w:jc w:val="left"/>
        <w:rPr>
          <w:rFonts w:ascii="仿宋_GB2312" w:eastAsia="仿宋_GB2312"/>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ascii="宋体" w:hAnsi="宋体"/>
          <w:b/>
          <w:sz w:val="32"/>
          <w:szCs w:val="30"/>
        </w:rPr>
      </w:pPr>
      <w:r>
        <w:rPr>
          <w:rFonts w:hint="eastAsia" w:ascii="宋体" w:hAnsi="宋体"/>
          <w:b/>
          <w:sz w:val="32"/>
          <w:szCs w:val="30"/>
        </w:rPr>
        <w:t>第一部分  章贡区</w:t>
      </w:r>
      <w:r>
        <w:rPr>
          <w:rFonts w:hint="eastAsia" w:ascii="宋体" w:hAnsi="宋体"/>
          <w:b/>
          <w:sz w:val="32"/>
          <w:szCs w:val="30"/>
          <w:lang w:eastAsia="zh-CN"/>
        </w:rPr>
        <w:t>纪委</w:t>
      </w:r>
      <w:r>
        <w:rPr>
          <w:rFonts w:hint="eastAsia" w:ascii="宋体" w:hAnsi="宋体"/>
          <w:b/>
          <w:sz w:val="32"/>
          <w:szCs w:val="30"/>
        </w:rPr>
        <w:t>概况</w:t>
      </w:r>
    </w:p>
    <w:p>
      <w:pPr>
        <w:widowControl/>
        <w:spacing w:line="580" w:lineRule="exact"/>
        <w:ind w:firstLine="640"/>
        <w:jc w:val="left"/>
        <w:rPr>
          <w:rFonts w:ascii="楷体_GB2312" w:eastAsia="楷体_GB2312"/>
          <w:b/>
          <w:sz w:val="32"/>
          <w:szCs w:val="30"/>
        </w:rPr>
      </w:pPr>
    </w:p>
    <w:p>
      <w:pPr>
        <w:widowControl/>
        <w:spacing w:line="580" w:lineRule="exact"/>
        <w:ind w:firstLine="640"/>
        <w:jc w:val="left"/>
        <w:rPr>
          <w:rFonts w:ascii="楷体" w:hAnsi="楷体" w:eastAsia="楷体"/>
          <w:b/>
          <w:sz w:val="32"/>
          <w:szCs w:val="30"/>
        </w:rPr>
      </w:pPr>
      <w:r>
        <w:rPr>
          <w:rFonts w:hint="eastAsia" w:ascii="楷体" w:hAnsi="楷体" w:eastAsia="楷体"/>
          <w:b/>
          <w:sz w:val="32"/>
          <w:szCs w:val="30"/>
        </w:rPr>
        <w:t>一、部门主要职责</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1.主管全区党的纪律检查工作。</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2.主管全区国家监察工作。</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3.负责检查并处理各镇、街道，区委和区政府各部门（单位）党的组织和区委管理的党员领导干部违反党的章程及党内法规的案件。</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4.负责作出关于维护党纪的决定，制定党风党纪教育计划，配合有关部门做好党的纪检工作方针、政策的宣传工作和对党员遵守纪律的教育工作。</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5.会同有关部门做好国家监察工作的方针、政策和法律、法规的宣传工作，教育国家工作人员遵纪守法、为政清廉。</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6.负责对党的纪律检查和国家监察工作理论及有关问题进行调查研究，根据我区实际，草拟规范性文件。</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7.调查研究各镇、街道和区政府各部门执行政策、法规的情况，对其在执行政策、法规中发生有损国家利益的情况，提出监察建议；变更或撤销镇（街道）行政机关不适当的决定和规定。</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8.会同各镇、街道，区委、区政府有关部门及做好纪检监察干部的管理、考察，审核下级党的纪律检查机关领导班子和领导干部人选；协助组织部门审核各镇、街道办事处和区直各部门（单位）和副科级以上领导干部人选的提拔任用；提出和考察审核各镇（街道）纪（工）委书记、副书记和区纪委监委机关内设机构负责人选以及各派驻纪检组领导干部人选；组织和指导全区纪检监察系统干部的培训工作。</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9.承办区委授权和交办的其他工作。</w:t>
      </w:r>
    </w:p>
    <w:p>
      <w:pPr>
        <w:widowControl/>
        <w:spacing w:line="580" w:lineRule="exact"/>
        <w:ind w:firstLine="640"/>
        <w:jc w:val="left"/>
        <w:rPr>
          <w:rFonts w:ascii="楷体" w:hAnsi="楷体" w:eastAsia="楷体"/>
          <w:b/>
          <w:sz w:val="32"/>
          <w:szCs w:val="30"/>
        </w:rPr>
      </w:pPr>
      <w:r>
        <w:rPr>
          <w:rFonts w:hint="eastAsia" w:ascii="楷体" w:hAnsi="楷体" w:eastAsia="楷体"/>
          <w:b/>
          <w:sz w:val="32"/>
          <w:szCs w:val="30"/>
        </w:rPr>
        <w:t>二、部门基本情况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章贡区纪委编制数93人，其中：行政编制88人、事业编制5人；实有人数86人，其</w:t>
      </w:r>
      <w:bookmarkStart w:id="0" w:name="_GoBack"/>
      <w:bookmarkEnd w:id="0"/>
      <w:r>
        <w:rPr>
          <w:rFonts w:hint="eastAsia" w:ascii="仿宋" w:hAnsi="仿宋" w:eastAsia="仿宋"/>
          <w:sz w:val="32"/>
          <w:szCs w:val="30"/>
          <w:lang w:val="en-US" w:eastAsia="zh-CN"/>
        </w:rPr>
        <w:t>中：在职人数86人，包括行政人员82人、全额事业4人；退休人员10人。</w:t>
      </w:r>
    </w:p>
    <w:p>
      <w:pPr>
        <w:widowControl/>
        <w:spacing w:line="580" w:lineRule="exact"/>
        <w:ind w:firstLine="640"/>
        <w:jc w:val="left"/>
        <w:rPr>
          <w:rFonts w:hint="eastAsia" w:ascii="仿宋_GB2312" w:hAnsi="仿宋_GB2312" w:eastAsia="仿宋_GB2312" w:cs="仿宋_GB2312"/>
          <w:bCs/>
          <w:sz w:val="32"/>
          <w:szCs w:val="32"/>
        </w:rPr>
      </w:pPr>
    </w:p>
    <w:p>
      <w:pPr>
        <w:widowControl/>
        <w:spacing w:line="580" w:lineRule="exact"/>
        <w:jc w:val="center"/>
        <w:rPr>
          <w:rFonts w:ascii="宋体" w:hAnsi="宋体"/>
          <w:b/>
          <w:sz w:val="32"/>
          <w:szCs w:val="30"/>
        </w:rPr>
      </w:pPr>
      <w:r>
        <w:rPr>
          <w:rFonts w:hint="eastAsia" w:ascii="宋体" w:hAnsi="宋体"/>
          <w:b/>
          <w:sz w:val="32"/>
          <w:szCs w:val="30"/>
        </w:rPr>
        <w:t>第二部分  章贡区</w:t>
      </w:r>
      <w:r>
        <w:rPr>
          <w:rFonts w:hint="eastAsia" w:ascii="宋体" w:hAnsi="宋体"/>
          <w:b/>
          <w:sz w:val="32"/>
          <w:szCs w:val="30"/>
          <w:lang w:eastAsia="zh-CN"/>
        </w:rPr>
        <w:t>纪委</w:t>
      </w:r>
      <w:r>
        <w:rPr>
          <w:rFonts w:hint="eastAsia" w:ascii="宋体" w:hAnsi="宋体"/>
          <w:b/>
          <w:sz w:val="32"/>
          <w:szCs w:val="30"/>
        </w:rPr>
        <w:t>20</w:t>
      </w:r>
      <w:r>
        <w:rPr>
          <w:rFonts w:hint="eastAsia" w:ascii="宋体" w:hAnsi="宋体"/>
          <w:b/>
          <w:sz w:val="32"/>
          <w:szCs w:val="30"/>
          <w:lang w:val="en-US" w:eastAsia="zh-CN"/>
        </w:rPr>
        <w:t>20</w:t>
      </w:r>
      <w:r>
        <w:rPr>
          <w:rFonts w:hint="eastAsia" w:ascii="宋体" w:hAnsi="宋体"/>
          <w:b/>
          <w:sz w:val="32"/>
          <w:szCs w:val="30"/>
        </w:rPr>
        <w:t>年部门预算情况说明</w:t>
      </w:r>
    </w:p>
    <w:p>
      <w:pPr>
        <w:widowControl/>
        <w:spacing w:line="580" w:lineRule="exact"/>
        <w:jc w:val="center"/>
        <w:rPr>
          <w:rFonts w:ascii="仿宋_GB2312" w:eastAsia="仿宋_GB2312"/>
          <w:b/>
          <w:sz w:val="32"/>
          <w:szCs w:val="30"/>
        </w:rPr>
      </w:pPr>
    </w:p>
    <w:p>
      <w:pPr>
        <w:widowControl/>
        <w:spacing w:line="580" w:lineRule="exact"/>
        <w:ind w:firstLine="643" w:firstLineChars="200"/>
        <w:jc w:val="left"/>
        <w:rPr>
          <w:rFonts w:ascii="楷体" w:hAnsi="楷体" w:eastAsia="楷体"/>
          <w:b/>
          <w:sz w:val="32"/>
          <w:szCs w:val="30"/>
        </w:rPr>
      </w:pPr>
      <w:r>
        <w:rPr>
          <w:rFonts w:hint="eastAsia" w:ascii="楷体" w:hAnsi="楷体" w:eastAsia="楷体"/>
          <w:b/>
          <w:sz w:val="32"/>
          <w:szCs w:val="30"/>
        </w:rPr>
        <w:t>一、20</w:t>
      </w:r>
      <w:r>
        <w:rPr>
          <w:rFonts w:hint="eastAsia" w:ascii="楷体" w:hAnsi="楷体" w:eastAsia="楷体"/>
          <w:b/>
          <w:sz w:val="32"/>
          <w:szCs w:val="30"/>
          <w:lang w:val="en-US" w:eastAsia="zh-CN"/>
        </w:rPr>
        <w:t>20</w:t>
      </w:r>
      <w:r>
        <w:rPr>
          <w:rFonts w:hint="eastAsia" w:ascii="楷体" w:hAnsi="楷体" w:eastAsia="楷体"/>
          <w:b/>
          <w:sz w:val="32"/>
          <w:szCs w:val="30"/>
        </w:rPr>
        <w:t>年部门预算收支情况说明</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（一）收入预算情况</w:t>
      </w:r>
    </w:p>
    <w:p>
      <w:pPr>
        <w:widowControl/>
        <w:spacing w:line="580" w:lineRule="exact"/>
        <w:ind w:firstLine="640"/>
        <w:jc w:val="left"/>
        <w:rPr>
          <w:rFonts w:hint="eastAsia" w:ascii="仿宋" w:hAnsi="仿宋" w:eastAsia="仿宋" w:cs="Times New Roman"/>
          <w:sz w:val="32"/>
          <w:szCs w:val="30"/>
          <w:lang w:val="en-US" w:eastAsia="zh-CN"/>
        </w:rPr>
      </w:pPr>
      <w:r>
        <w:rPr>
          <w:rFonts w:hint="eastAsia" w:ascii="仿宋" w:hAnsi="仿宋" w:eastAsia="仿宋" w:cs="Times New Roman"/>
          <w:sz w:val="32"/>
          <w:szCs w:val="30"/>
          <w:lang w:val="en-US" w:eastAsia="zh-CN"/>
        </w:rPr>
        <w:t>2020年章贡区纪委本年收入预算总额为1955.25万元，其中：财政拨款收入1460.60万元，占财政预算总收入的74.7%，包括财政补助收入1460.60万元、上年结余（结转）总额494.65万元，占财政预算总收入的25.3%。</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（二）支出预算情况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2020年章贡区纪委支出预算总额为1955.25万元，其中：</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按支出项目类别划分：基本支出1460.6万元，占支出预算总额的74.7%，包括工资福利支出916.35万元、商品和服务支出543.29万元、对个人和家庭补助0.96万元；。</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按支出功能科目划分：一般公共服务支出1204.94万元，占支出预算总额的61.6%；社会保障和就业92.47万元，占支出预算总额的4.7%；医疗卫生支出65.51万元，占支出预算总额的3.3%；住房保障支出97.68万元，占支出预算总额的5%。</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（三）财政拨款支出情况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章贡区纪委财政补助支出预算1460.6万元，占支出预算总额的74.7%。具体为：一般公共服务支出1204.94万元，占支出预算总额的61.6%；社会保障和就业92.47万元，占支出预算总额的4.7%；医疗卫生支出65.51万元，占支出预算总额的3.3%；住房保障支出97.68万元，占支出预算总额的5%。</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（四）政府性基金情况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2020年章贡区纪委没有使用政府性基金预算拨款安排的支出。</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（五）机关运行经费等重要事项的说明</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2020年部门机关运行费预算1037.94万元，比2019年预算增加114.78万元，增长12.43%。</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80" w:lineRule="exact"/>
        <w:ind w:firstLine="640"/>
        <w:jc w:val="left"/>
        <w:rPr>
          <w:rFonts w:ascii="仿宋" w:hAnsi="仿宋" w:eastAsia="仿宋"/>
          <w:b/>
          <w:sz w:val="32"/>
          <w:szCs w:val="30"/>
        </w:rPr>
      </w:pPr>
      <w:r>
        <w:rPr>
          <w:rFonts w:hint="eastAsia" w:ascii="仿宋" w:hAnsi="仿宋" w:eastAsia="仿宋"/>
          <w:b/>
          <w:sz w:val="32"/>
          <w:szCs w:val="30"/>
        </w:rPr>
        <w:t>（六）政府采购情况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2020年部门所属各单位政府采购总额70万元，其中：政府采购货物预算70万元。</w:t>
      </w:r>
    </w:p>
    <w:p>
      <w:pPr>
        <w:widowControl/>
        <w:spacing w:line="580" w:lineRule="exact"/>
        <w:ind w:firstLine="640"/>
        <w:jc w:val="left"/>
        <w:rPr>
          <w:rFonts w:hint="eastAsia" w:ascii="仿宋" w:hAnsi="仿宋" w:eastAsia="仿宋"/>
          <w:b/>
          <w:sz w:val="32"/>
          <w:szCs w:val="30"/>
          <w:lang w:val="en-US" w:eastAsia="zh-CN"/>
        </w:rPr>
      </w:pPr>
      <w:r>
        <w:rPr>
          <w:rFonts w:hint="eastAsia" w:ascii="仿宋" w:hAnsi="仿宋" w:eastAsia="仿宋"/>
          <w:b/>
          <w:sz w:val="32"/>
          <w:szCs w:val="30"/>
          <w:lang w:val="en-US" w:eastAsia="zh-CN"/>
        </w:rPr>
        <w:t>（七）国有资产占有使用情况</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截至2019年12月31日，部门共有车辆7辆，2020年部门预算安排购置车辆2 辆，安排购置单位价值200万元以上大型设备0台。</w:t>
      </w:r>
    </w:p>
    <w:p>
      <w:pPr>
        <w:pStyle w:val="8"/>
        <w:shd w:val="clear" w:color="auto" w:fill="FFFFFF"/>
        <w:spacing w:before="0" w:beforeLines="0" w:beforeAutospacing="0" w:after="0" w:afterLines="0" w:afterAutospacing="0" w:line="600" w:lineRule="atLeast"/>
        <w:ind w:firstLine="750"/>
        <w:rPr>
          <w:rFonts w:hint="eastAsia" w:ascii="仿宋" w:hAnsi="仿宋" w:eastAsia="仿宋" w:cs="Times New Roman"/>
          <w:b/>
          <w:kern w:val="2"/>
          <w:sz w:val="32"/>
          <w:szCs w:val="30"/>
          <w:lang w:val="en-US" w:eastAsia="zh-CN" w:bidi="ar-SA"/>
        </w:rPr>
      </w:pPr>
      <w:r>
        <w:rPr>
          <w:rFonts w:hint="eastAsia" w:ascii="仿宋" w:hAnsi="仿宋" w:eastAsia="仿宋" w:cs="Times New Roman"/>
          <w:b/>
          <w:kern w:val="2"/>
          <w:sz w:val="32"/>
          <w:szCs w:val="30"/>
          <w:lang w:val="en-US" w:eastAsia="zh-CN" w:bidi="ar-SA"/>
        </w:rPr>
        <w:t>（八）绩效目标设置情况</w:t>
      </w:r>
    </w:p>
    <w:p>
      <w:pPr>
        <w:widowControl/>
        <w:spacing w:line="580" w:lineRule="exact"/>
        <w:ind w:firstLine="640"/>
        <w:jc w:val="left"/>
        <w:rPr>
          <w:rFonts w:hint="eastAsia" w:ascii="仿宋" w:hAnsi="仿宋" w:eastAsia="仿宋"/>
          <w:sz w:val="32"/>
          <w:szCs w:val="30"/>
        </w:rPr>
      </w:pPr>
      <w:r>
        <w:rPr>
          <w:rFonts w:hint="eastAsia" w:ascii="仿宋" w:hAnsi="仿宋" w:eastAsia="仿宋"/>
          <w:sz w:val="32"/>
          <w:szCs w:val="30"/>
          <w:lang w:val="en-US" w:eastAsia="zh-CN"/>
        </w:rPr>
        <w:t>2020年实行绩效目标管理的项目11个，涉及金额288.85万元；纳入绩效目标批复试点的项目 0个，涉及资金0元。</w:t>
      </w:r>
    </w:p>
    <w:p>
      <w:pPr>
        <w:widowControl/>
        <w:spacing w:line="580" w:lineRule="exact"/>
        <w:ind w:firstLine="643" w:firstLineChars="200"/>
        <w:jc w:val="left"/>
        <w:rPr>
          <w:rFonts w:ascii="楷体" w:hAnsi="楷体" w:eastAsia="楷体"/>
          <w:b/>
          <w:sz w:val="32"/>
          <w:szCs w:val="30"/>
        </w:rPr>
      </w:pPr>
      <w:r>
        <w:rPr>
          <w:rFonts w:hint="eastAsia" w:ascii="楷体" w:hAnsi="楷体" w:eastAsia="楷体"/>
          <w:b/>
          <w:sz w:val="32"/>
          <w:szCs w:val="30"/>
        </w:rPr>
        <w:t>二、20</w:t>
      </w:r>
      <w:r>
        <w:rPr>
          <w:rFonts w:hint="eastAsia" w:ascii="楷体" w:hAnsi="楷体" w:eastAsia="楷体"/>
          <w:b/>
          <w:sz w:val="32"/>
          <w:szCs w:val="30"/>
          <w:lang w:val="en-US" w:eastAsia="zh-CN"/>
        </w:rPr>
        <w:t>20</w:t>
      </w:r>
      <w:r>
        <w:rPr>
          <w:rFonts w:hint="eastAsia" w:ascii="楷体" w:hAnsi="楷体" w:eastAsia="楷体"/>
          <w:b/>
          <w:sz w:val="32"/>
          <w:szCs w:val="30"/>
        </w:rPr>
        <w:t>年“三公</w:t>
      </w:r>
      <w:r>
        <w:rPr>
          <w:rFonts w:ascii="楷体" w:hAnsi="楷体" w:eastAsia="楷体"/>
          <w:b/>
          <w:sz w:val="32"/>
          <w:szCs w:val="30"/>
        </w:rPr>
        <w:t>”</w:t>
      </w:r>
      <w:r>
        <w:rPr>
          <w:rFonts w:hint="eastAsia" w:ascii="楷体" w:hAnsi="楷体" w:eastAsia="楷体"/>
          <w:b/>
          <w:sz w:val="32"/>
          <w:szCs w:val="30"/>
        </w:rPr>
        <w:t>经费预算情况说明</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2020年区纪委“三公”经费年初预算安排65.9万元。其中：</w:t>
      </w:r>
    </w:p>
    <w:p>
      <w:pPr>
        <w:widowControl/>
        <w:spacing w:line="580" w:lineRule="exact"/>
        <w:ind w:firstLine="640"/>
        <w:jc w:val="left"/>
        <w:rPr>
          <w:rFonts w:hint="eastAsia" w:ascii="仿宋" w:hAnsi="仿宋" w:eastAsia="仿宋"/>
          <w:sz w:val="32"/>
          <w:szCs w:val="30"/>
          <w:lang w:val="en-US" w:eastAsia="zh-CN"/>
        </w:rPr>
      </w:pPr>
      <w:r>
        <w:rPr>
          <w:rFonts w:hint="eastAsia" w:ascii="仿宋" w:hAnsi="仿宋" w:eastAsia="仿宋"/>
          <w:sz w:val="32"/>
          <w:szCs w:val="30"/>
          <w:lang w:val="en-US" w:eastAsia="zh-CN"/>
        </w:rPr>
        <w:t>因公出国（境）费0万元，比上年增（减）0万元。</w:t>
      </w:r>
    </w:p>
    <w:p>
      <w:pPr>
        <w:widowControl/>
        <w:spacing w:line="580" w:lineRule="exact"/>
        <w:ind w:firstLine="640"/>
        <w:jc w:val="left"/>
        <w:rPr>
          <w:rFonts w:hint="eastAsia" w:ascii="仿宋" w:hAnsi="仿宋" w:eastAsia="仿宋"/>
          <w:color w:val="FF0000"/>
          <w:sz w:val="32"/>
          <w:szCs w:val="30"/>
          <w:lang w:val="en-US" w:eastAsia="zh-CN"/>
        </w:rPr>
      </w:pPr>
      <w:r>
        <w:rPr>
          <w:rFonts w:hint="eastAsia" w:ascii="仿宋" w:hAnsi="仿宋" w:eastAsia="仿宋"/>
          <w:sz w:val="32"/>
          <w:szCs w:val="30"/>
          <w:lang w:val="en-US" w:eastAsia="zh-CN"/>
        </w:rPr>
        <w:t>公务接待费8.1万元，</w:t>
      </w:r>
      <w:r>
        <w:rPr>
          <w:rFonts w:hint="eastAsia" w:ascii="仿宋" w:hAnsi="仿宋" w:eastAsia="仿宋"/>
          <w:color w:val="auto"/>
          <w:sz w:val="32"/>
          <w:szCs w:val="30"/>
          <w:lang w:val="en-US" w:eastAsia="zh-CN"/>
        </w:rPr>
        <w:t>比上年增</w:t>
      </w:r>
      <w:r>
        <w:rPr>
          <w:rFonts w:hint="eastAsia" w:ascii="仿宋" w:hAnsi="仿宋" w:eastAsia="仿宋"/>
          <w:sz w:val="32"/>
          <w:szCs w:val="30"/>
          <w:lang w:val="en-US" w:eastAsia="zh-CN"/>
        </w:rPr>
        <w:t>（减）</w:t>
      </w:r>
      <w:r>
        <w:rPr>
          <w:rFonts w:hint="eastAsia" w:ascii="仿宋" w:hAnsi="仿宋" w:eastAsia="仿宋"/>
          <w:color w:val="auto"/>
          <w:sz w:val="32"/>
          <w:szCs w:val="30"/>
          <w:lang w:val="en-US" w:eastAsia="zh-CN"/>
        </w:rPr>
        <w:t>0万元。</w:t>
      </w:r>
    </w:p>
    <w:p>
      <w:pPr>
        <w:widowControl/>
        <w:spacing w:line="580" w:lineRule="exact"/>
        <w:ind w:firstLine="640"/>
        <w:jc w:val="left"/>
        <w:rPr>
          <w:rFonts w:hint="eastAsia" w:ascii="仿宋" w:hAnsi="仿宋" w:eastAsia="仿宋"/>
          <w:color w:val="auto"/>
          <w:sz w:val="32"/>
          <w:szCs w:val="30"/>
          <w:lang w:val="en-US" w:eastAsia="zh-CN"/>
        </w:rPr>
      </w:pPr>
      <w:r>
        <w:rPr>
          <w:rFonts w:hint="eastAsia" w:ascii="仿宋" w:hAnsi="仿宋" w:eastAsia="仿宋"/>
          <w:sz w:val="32"/>
          <w:szCs w:val="30"/>
          <w:lang w:val="en-US" w:eastAsia="zh-CN"/>
        </w:rPr>
        <w:t>公务用车购置及运行维护费57.8万元</w:t>
      </w:r>
      <w:r>
        <w:rPr>
          <w:rFonts w:hint="eastAsia" w:ascii="仿宋" w:hAnsi="仿宋" w:eastAsia="仿宋"/>
          <w:color w:val="auto"/>
          <w:sz w:val="32"/>
          <w:szCs w:val="30"/>
          <w:lang w:val="en-US" w:eastAsia="zh-CN"/>
        </w:rPr>
        <w:t>，其中公务用车购置费用42.8万元，公务用车运行维护费15万元，比上年增加0.1万元，原因是因工作需要，需更换车况差的执法执勤用车2辆。</w:t>
      </w:r>
    </w:p>
    <w:p>
      <w:pPr>
        <w:widowControl/>
        <w:spacing w:line="580" w:lineRule="exact"/>
        <w:ind w:firstLine="640"/>
        <w:jc w:val="left"/>
        <w:rPr>
          <w:rFonts w:hint="eastAsia" w:ascii="仿宋" w:hAnsi="仿宋" w:eastAsia="仿宋"/>
          <w:color w:val="auto"/>
          <w:sz w:val="32"/>
          <w:szCs w:val="30"/>
          <w:lang w:val="en-US" w:eastAsia="zh-CN"/>
        </w:rPr>
      </w:pPr>
    </w:p>
    <w:p>
      <w:pPr>
        <w:widowControl/>
        <w:spacing w:line="580" w:lineRule="exact"/>
        <w:jc w:val="center"/>
        <w:rPr>
          <w:rFonts w:ascii="宋体" w:hAnsi="宋体"/>
          <w:b/>
          <w:sz w:val="32"/>
          <w:szCs w:val="30"/>
        </w:rPr>
      </w:pPr>
      <w:r>
        <w:rPr>
          <w:rFonts w:hint="eastAsia" w:ascii="宋体" w:hAnsi="宋体"/>
          <w:b/>
          <w:sz w:val="32"/>
          <w:szCs w:val="30"/>
        </w:rPr>
        <w:t>第三部分  章贡区</w:t>
      </w:r>
      <w:r>
        <w:rPr>
          <w:rFonts w:hint="eastAsia" w:ascii="宋体" w:hAnsi="宋体"/>
          <w:b/>
          <w:sz w:val="32"/>
          <w:szCs w:val="30"/>
          <w:lang w:eastAsia="zh-CN"/>
        </w:rPr>
        <w:t>纪委</w:t>
      </w:r>
      <w:r>
        <w:rPr>
          <w:rFonts w:hint="eastAsia" w:ascii="宋体" w:hAnsi="宋体"/>
          <w:b/>
          <w:sz w:val="32"/>
          <w:szCs w:val="30"/>
        </w:rPr>
        <w:t>20</w:t>
      </w:r>
      <w:r>
        <w:rPr>
          <w:rFonts w:hint="eastAsia" w:ascii="宋体" w:hAnsi="宋体"/>
          <w:b/>
          <w:sz w:val="32"/>
          <w:szCs w:val="30"/>
          <w:lang w:val="en-US" w:eastAsia="zh-CN"/>
        </w:rPr>
        <w:t>20</w:t>
      </w:r>
      <w:r>
        <w:rPr>
          <w:rFonts w:hint="eastAsia" w:ascii="宋体" w:hAnsi="宋体"/>
          <w:b/>
          <w:sz w:val="32"/>
          <w:szCs w:val="30"/>
        </w:rPr>
        <w:t>年部门预算表</w:t>
      </w:r>
    </w:p>
    <w:p>
      <w:pPr>
        <w:widowControl/>
        <w:spacing w:line="580" w:lineRule="exact"/>
        <w:ind w:firstLine="640" w:firstLineChars="200"/>
        <w:jc w:val="left"/>
        <w:rPr>
          <w:rFonts w:ascii="仿宋" w:hAnsi="仿宋" w:eastAsia="仿宋"/>
          <w:color w:val="auto"/>
          <w:sz w:val="32"/>
          <w:szCs w:val="30"/>
        </w:rPr>
      </w:pPr>
      <w:r>
        <w:rPr>
          <w:rFonts w:hint="eastAsia" w:ascii="仿宋" w:hAnsi="仿宋" w:eastAsia="仿宋"/>
          <w:color w:val="auto"/>
          <w:sz w:val="32"/>
          <w:szCs w:val="30"/>
        </w:rPr>
        <w:t>八张表（详见附表）</w:t>
      </w:r>
    </w:p>
    <w:p>
      <w:pPr>
        <w:widowControl/>
        <w:spacing w:line="580" w:lineRule="exact"/>
        <w:ind w:firstLine="640"/>
        <w:jc w:val="left"/>
        <w:rPr>
          <w:rFonts w:ascii="仿宋_GB2312" w:eastAsia="仿宋_GB2312"/>
          <w:b/>
          <w:sz w:val="32"/>
          <w:szCs w:val="30"/>
        </w:rPr>
      </w:pPr>
    </w:p>
    <w:p>
      <w:pPr>
        <w:widowControl/>
        <w:spacing w:line="580" w:lineRule="exact"/>
        <w:jc w:val="center"/>
        <w:rPr>
          <w:rFonts w:ascii="宋体" w:hAnsi="宋体" w:cs="Times New Roman"/>
          <w:b/>
          <w:sz w:val="32"/>
          <w:szCs w:val="30"/>
        </w:rPr>
      </w:pPr>
      <w:r>
        <w:rPr>
          <w:rFonts w:hint="eastAsia" w:ascii="宋体" w:hAnsi="宋体" w:cs="Times New Roman"/>
          <w:b/>
          <w:sz w:val="32"/>
          <w:szCs w:val="30"/>
        </w:rPr>
        <w:t>第四部分   名词解释</w:t>
      </w:r>
    </w:p>
    <w:p>
      <w:pPr>
        <w:widowControl/>
        <w:spacing w:line="580" w:lineRule="exact"/>
        <w:ind w:firstLine="640"/>
        <w:jc w:val="both"/>
        <w:rPr>
          <w:rFonts w:ascii="楷体" w:hAnsi="楷体" w:eastAsia="楷体" w:cs="Times New Roman"/>
          <w:b/>
          <w:sz w:val="32"/>
          <w:szCs w:val="30"/>
        </w:rPr>
      </w:pPr>
      <w:r>
        <w:rPr>
          <w:rFonts w:hint="eastAsia" w:ascii="楷体" w:hAnsi="楷体" w:eastAsia="楷体" w:cs="Times New Roman"/>
          <w:b/>
          <w:sz w:val="32"/>
          <w:szCs w:val="30"/>
        </w:rPr>
        <w:t>一、收入科目</w:t>
      </w:r>
    </w:p>
    <w:p>
      <w:pPr>
        <w:widowControl/>
        <w:spacing w:line="580" w:lineRule="exact"/>
        <w:ind w:firstLine="640"/>
        <w:jc w:val="both"/>
        <w:rPr>
          <w:rFonts w:hint="eastAsia" w:ascii="仿宋" w:hAnsi="仿宋" w:eastAsia="仿宋" w:cs="Times New Roman"/>
          <w:sz w:val="32"/>
          <w:szCs w:val="30"/>
          <w:lang w:eastAsia="zh-CN"/>
        </w:rPr>
      </w:pPr>
      <w:r>
        <w:rPr>
          <w:rFonts w:hint="eastAsia" w:ascii="仿宋" w:hAnsi="仿宋" w:eastAsia="仿宋" w:cs="Times New Roman"/>
          <w:sz w:val="32"/>
          <w:szCs w:val="30"/>
        </w:rPr>
        <w:t>（一）财政拨款：指区财政当年拨付的资金</w:t>
      </w:r>
      <w:r>
        <w:rPr>
          <w:rFonts w:hint="eastAsia" w:ascii="仿宋" w:hAnsi="仿宋" w:eastAsia="仿宋" w:cs="Times New Roman"/>
          <w:sz w:val="32"/>
          <w:szCs w:val="30"/>
          <w:lang w:eastAsia="zh-CN"/>
        </w:rPr>
        <w:t>。</w:t>
      </w:r>
    </w:p>
    <w:p>
      <w:pPr>
        <w:widowControl/>
        <w:spacing w:line="580" w:lineRule="exact"/>
        <w:ind w:firstLine="640"/>
        <w:jc w:val="both"/>
        <w:rPr>
          <w:rFonts w:hint="eastAsia" w:ascii="仿宋" w:hAnsi="仿宋" w:eastAsia="仿宋" w:cs="Times New Roman"/>
          <w:sz w:val="32"/>
          <w:szCs w:val="30"/>
          <w:lang w:eastAsia="zh-CN"/>
        </w:rPr>
      </w:pPr>
      <w:r>
        <w:rPr>
          <w:rFonts w:hint="eastAsia" w:ascii="仿宋" w:hAnsi="仿宋" w:eastAsia="仿宋" w:cs="Times New Roman"/>
          <w:sz w:val="32"/>
          <w:szCs w:val="30"/>
        </w:rPr>
        <w:t>（二）上级补助收入：指单位从主管部门和上级单位取得的补助收入</w:t>
      </w:r>
      <w:r>
        <w:rPr>
          <w:rFonts w:hint="eastAsia" w:ascii="仿宋" w:hAnsi="仿宋" w:eastAsia="仿宋" w:cs="Times New Roman"/>
          <w:sz w:val="32"/>
          <w:szCs w:val="30"/>
          <w:lang w:eastAsia="zh-CN"/>
        </w:rPr>
        <w:t>。</w:t>
      </w:r>
    </w:p>
    <w:p>
      <w:pPr>
        <w:widowControl/>
        <w:spacing w:line="580" w:lineRule="exact"/>
        <w:ind w:firstLine="640"/>
        <w:jc w:val="both"/>
        <w:rPr>
          <w:rFonts w:hint="eastAsia" w:ascii="仿宋" w:hAnsi="仿宋" w:eastAsia="仿宋" w:cs="Times New Roman"/>
          <w:sz w:val="32"/>
          <w:szCs w:val="30"/>
          <w:lang w:eastAsia="zh-CN"/>
        </w:rPr>
      </w:pPr>
      <w:r>
        <w:rPr>
          <w:rFonts w:hint="eastAsia" w:ascii="仿宋" w:hAnsi="仿宋" w:eastAsia="仿宋" w:cs="Times New Roman"/>
          <w:sz w:val="32"/>
          <w:szCs w:val="30"/>
        </w:rPr>
        <w:t>（三）其他收入：指除财政拨款、上级补助收入、事业收入、事业单位经营收入等以外的各项收入</w:t>
      </w:r>
      <w:r>
        <w:rPr>
          <w:rFonts w:hint="eastAsia" w:ascii="仿宋" w:hAnsi="仿宋" w:eastAsia="仿宋" w:cs="Times New Roman"/>
          <w:sz w:val="32"/>
          <w:szCs w:val="30"/>
          <w:lang w:eastAsia="zh-CN"/>
        </w:rPr>
        <w:t>。</w:t>
      </w:r>
    </w:p>
    <w:p>
      <w:pPr>
        <w:widowControl/>
        <w:spacing w:line="580" w:lineRule="exact"/>
        <w:ind w:firstLine="640"/>
        <w:jc w:val="both"/>
        <w:rPr>
          <w:rFonts w:hint="eastAsia" w:ascii="仿宋" w:hAnsi="仿宋" w:eastAsia="仿宋" w:cs="Times New Roman"/>
          <w:sz w:val="32"/>
          <w:szCs w:val="30"/>
          <w:lang w:eastAsia="zh-CN"/>
        </w:rPr>
      </w:pPr>
      <w:r>
        <w:rPr>
          <w:rFonts w:hint="eastAsia" w:ascii="仿宋" w:hAnsi="仿宋" w:eastAsia="仿宋" w:cs="Times New Roman"/>
          <w:sz w:val="32"/>
          <w:szCs w:val="30"/>
        </w:rPr>
        <w:t>（四）上年结转和结余：填列201</w:t>
      </w:r>
      <w:r>
        <w:rPr>
          <w:rFonts w:hint="eastAsia" w:ascii="仿宋" w:hAnsi="仿宋" w:eastAsia="仿宋" w:cs="Times New Roman"/>
          <w:sz w:val="32"/>
          <w:szCs w:val="30"/>
          <w:lang w:val="en-US" w:eastAsia="zh-CN"/>
        </w:rPr>
        <w:t>9</w:t>
      </w:r>
      <w:r>
        <w:rPr>
          <w:rFonts w:hint="eastAsia" w:ascii="仿宋" w:hAnsi="仿宋" w:eastAsia="仿宋" w:cs="Times New Roman"/>
          <w:sz w:val="32"/>
          <w:szCs w:val="30"/>
        </w:rPr>
        <w:t>年全部结转和结余的资金数，包括当年结转结余资金和历年滚存结转结余资金</w:t>
      </w:r>
      <w:r>
        <w:rPr>
          <w:rFonts w:hint="eastAsia" w:ascii="仿宋" w:hAnsi="仿宋" w:eastAsia="仿宋" w:cs="Times New Roman"/>
          <w:sz w:val="32"/>
          <w:szCs w:val="30"/>
          <w:lang w:eastAsia="zh-CN"/>
        </w:rPr>
        <w:t>。</w:t>
      </w:r>
    </w:p>
    <w:p>
      <w:pPr>
        <w:widowControl/>
        <w:spacing w:line="580" w:lineRule="exact"/>
        <w:ind w:firstLine="640"/>
        <w:jc w:val="both"/>
        <w:rPr>
          <w:rFonts w:ascii="楷体" w:hAnsi="楷体" w:eastAsia="楷体" w:cs="Times New Roman"/>
          <w:b/>
          <w:sz w:val="32"/>
          <w:szCs w:val="30"/>
        </w:rPr>
      </w:pPr>
      <w:r>
        <w:rPr>
          <w:rFonts w:hint="eastAsia" w:ascii="楷体" w:hAnsi="楷体" w:eastAsia="楷体" w:cs="Times New Roman"/>
          <w:b/>
          <w:sz w:val="32"/>
          <w:szCs w:val="30"/>
        </w:rPr>
        <w:t>二、支出科目</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（一）行政运行：反映行政单位（包括参公单位）的基本支出。</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（二）一般行政管理实务：反映行政单位（包括参公单位）未单独设置项级科目的其他项目支出。</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（三）事业运行：反映事业单位的基本支出。</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（四）机关事业单位基本养老保险缴费支出：反映机关事业单位实施养老保险制度由单位缴纳的基本养老保险费的支出。</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（五）行政单位医疗：反映行政事业单位基本医疗保险缴费经费。</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（六）事业单位医疗：反映财政部门集中安排的事业单位基本医疗保险缴费经费。</w:t>
      </w:r>
    </w:p>
    <w:p>
      <w:pPr>
        <w:widowControl/>
        <w:spacing w:line="580" w:lineRule="exact"/>
        <w:ind w:firstLine="640"/>
        <w:jc w:val="both"/>
        <w:rPr>
          <w:rFonts w:ascii="仿宋" w:hAnsi="仿宋" w:eastAsia="仿宋" w:cs="Times New Roman"/>
          <w:sz w:val="32"/>
          <w:szCs w:val="30"/>
        </w:rPr>
      </w:pPr>
      <w:r>
        <w:rPr>
          <w:rFonts w:hint="eastAsia" w:ascii="仿宋" w:hAnsi="仿宋" w:eastAsia="仿宋" w:cs="Times New Roman"/>
          <w:sz w:val="32"/>
          <w:szCs w:val="30"/>
        </w:rPr>
        <w:t>（七）住房公积金：反映行政事业单位按人力资源和社会保障部、财政部规定的</w:t>
      </w:r>
      <w:r>
        <w:rPr>
          <w:rFonts w:hint="eastAsia" w:ascii="仿宋" w:hAnsi="仿宋" w:eastAsia="仿宋" w:cs="Times New Roman"/>
          <w:sz w:val="32"/>
          <w:szCs w:val="30"/>
          <w:lang w:val="en-US" w:eastAsia="zh-CN"/>
        </w:rPr>
        <w:t xml:space="preserve"> </w:t>
      </w:r>
      <w:r>
        <w:rPr>
          <w:rFonts w:hint="eastAsia" w:ascii="仿宋" w:hAnsi="仿宋" w:eastAsia="仿宋" w:cs="Times New Roman"/>
          <w:sz w:val="32"/>
          <w:szCs w:val="30"/>
        </w:rPr>
        <w:t>基本工资和津补贴以及规定比例为职工缴纳的住房公积金。</w:t>
      </w:r>
    </w:p>
    <w:p>
      <w:pPr>
        <w:widowControl/>
        <w:spacing w:line="580" w:lineRule="exact"/>
        <w:ind w:firstLine="640"/>
        <w:jc w:val="both"/>
        <w:rPr>
          <w:rFonts w:ascii="仿宋" w:hAnsi="仿宋" w:eastAsia="仿宋" w:cs="Times New Roman"/>
        </w:rPr>
      </w:pPr>
      <w:r>
        <w:rPr>
          <w:rFonts w:hint="eastAsia" w:ascii="仿宋" w:hAnsi="仿宋" w:eastAsia="仿宋" w:cs="Times New Roman"/>
          <w:sz w:val="32"/>
          <w:szCs w:val="30"/>
        </w:rPr>
        <w:t>对部门预算中涉及的支出功能分类科目（明细到项级），结合部门实际，参照《20</w:t>
      </w:r>
      <w:r>
        <w:rPr>
          <w:rFonts w:hint="eastAsia" w:ascii="仿宋" w:hAnsi="仿宋" w:eastAsia="仿宋" w:cs="Times New Roman"/>
          <w:sz w:val="32"/>
          <w:szCs w:val="30"/>
          <w:lang w:val="en-US" w:eastAsia="zh-CN"/>
        </w:rPr>
        <w:t>20</w:t>
      </w:r>
      <w:r>
        <w:rPr>
          <w:rFonts w:hint="eastAsia" w:ascii="仿宋" w:hAnsi="仿宋" w:eastAsia="仿宋" w:cs="Times New Roman"/>
          <w:sz w:val="32"/>
          <w:szCs w:val="30"/>
        </w:rPr>
        <w:t>年政府收支分类科目》的规范说明进行解释。</w:t>
      </w:r>
    </w:p>
    <w:p/>
    <w:p/>
    <w:sectPr>
      <w:footerReference r:id="rId6" w:type="first"/>
      <w:headerReference r:id="rId3" w:type="default"/>
      <w:footerReference r:id="rId4" w:type="default"/>
      <w:footerReference r:id="rId5" w:type="even"/>
      <w:pgSz w:w="11907" w:h="16840"/>
      <w:pgMar w:top="1701" w:right="1140" w:bottom="1402" w:left="1588" w:header="851" w:footer="992" w:gutter="0"/>
      <w:paperSrc w:first="261" w:other="261"/>
      <w:pgNumType w:fmt="numberInDash"/>
      <w:cols w:space="720" w:num="1"/>
      <w:titlePg/>
      <w:docGrid w:type="lines" w:linePitch="312" w:charSpace="761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- 4 -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- 4 -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- 1 -</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B841A6"/>
    <w:rsid w:val="00897618"/>
    <w:rsid w:val="02B841A6"/>
    <w:rsid w:val="06227CA4"/>
    <w:rsid w:val="096F7EEC"/>
    <w:rsid w:val="0B434804"/>
    <w:rsid w:val="104C78A4"/>
    <w:rsid w:val="1A671B68"/>
    <w:rsid w:val="1F6F15F5"/>
    <w:rsid w:val="2257194D"/>
    <w:rsid w:val="250D4C9F"/>
    <w:rsid w:val="28110452"/>
    <w:rsid w:val="2D464940"/>
    <w:rsid w:val="2E3C5567"/>
    <w:rsid w:val="32126EF5"/>
    <w:rsid w:val="32E50724"/>
    <w:rsid w:val="34AE611C"/>
    <w:rsid w:val="386F5184"/>
    <w:rsid w:val="397758A5"/>
    <w:rsid w:val="3AD22679"/>
    <w:rsid w:val="3B9C1E6F"/>
    <w:rsid w:val="3C4D49B1"/>
    <w:rsid w:val="406E5CCD"/>
    <w:rsid w:val="42F850D5"/>
    <w:rsid w:val="44B44DBA"/>
    <w:rsid w:val="45012F3B"/>
    <w:rsid w:val="45D23BFF"/>
    <w:rsid w:val="469A053E"/>
    <w:rsid w:val="49037E9A"/>
    <w:rsid w:val="54DC2FA4"/>
    <w:rsid w:val="54F67FBC"/>
    <w:rsid w:val="57B00084"/>
    <w:rsid w:val="5B1E7AE2"/>
    <w:rsid w:val="5B927CEC"/>
    <w:rsid w:val="5C5E6FD4"/>
    <w:rsid w:val="5D64440A"/>
    <w:rsid w:val="608C1BFE"/>
    <w:rsid w:val="60AE6F66"/>
    <w:rsid w:val="61B77329"/>
    <w:rsid w:val="62201F01"/>
    <w:rsid w:val="629A3F26"/>
    <w:rsid w:val="64007E39"/>
    <w:rsid w:val="68502610"/>
    <w:rsid w:val="6B2307AE"/>
    <w:rsid w:val="6E1E75D6"/>
    <w:rsid w:val="70707406"/>
    <w:rsid w:val="70B913B1"/>
    <w:rsid w:val="71340977"/>
    <w:rsid w:val="71380BE6"/>
    <w:rsid w:val="74A24946"/>
    <w:rsid w:val="76C113A9"/>
    <w:rsid w:val="7C95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rPr>
      <w:rFonts w:cs="Times New Roman"/>
      <w:sz w:val="24"/>
      <w:szCs w:val="24"/>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character" w:styleId="7">
    <w:name w:val="page number"/>
    <w:basedOn w:val="6"/>
    <w:qFormat/>
    <w:uiPriority w:val="0"/>
  </w:style>
  <w:style w:type="paragraph" w:customStyle="1" w:styleId="8">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2020-07-08T08:21:00Z</dcterms:created>
  <dc:creator>Administrator</dc:creator>
  <cp:lastModifiedBy>Administrator</cp:lastModifiedBy>
  <cp:lastPrinted>2020-07-08T08:44:00Z</cp:lastPrinted>
  <dcterms:modified xsi:type="dcterms:W3CDTF">2020-07-22T01:20:11Z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